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1B2BA2" w:rsidTr="00216F90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A2" w:rsidRDefault="001B2BA2" w:rsidP="00216F90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1B2BA2" w:rsidRDefault="001B2BA2" w:rsidP="00216F90">
            <w:pPr>
              <w:pStyle w:val="a6"/>
              <w:spacing w:line="360" w:lineRule="auto"/>
              <w:jc w:val="both"/>
            </w:pPr>
            <w:r>
              <w:t>Ректор</w:t>
            </w:r>
          </w:p>
          <w:p w:rsidR="001B2BA2" w:rsidRDefault="001B2BA2" w:rsidP="00216F90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С.В.Калмыков</w:t>
            </w:r>
            <w:proofErr w:type="spellEnd"/>
          </w:p>
          <w:p w:rsidR="001B2BA2" w:rsidRDefault="001B2BA2" w:rsidP="00216F90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«____»__________2014 г. </w:t>
            </w:r>
          </w:p>
        </w:tc>
      </w:tr>
      <w:tr w:rsidR="001B2BA2" w:rsidTr="00216F90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A2" w:rsidRDefault="001B2BA2" w:rsidP="00216F90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1B2BA2" w:rsidRDefault="001B2BA2" w:rsidP="001B2BA2">
      <w:pPr>
        <w:spacing w:after="0" w:line="360" w:lineRule="auto"/>
        <w:ind w:firstLine="709"/>
        <w:jc w:val="center"/>
      </w:pPr>
    </w:p>
    <w:p w:rsidR="001B2BA2" w:rsidRPr="009E2B2C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1B2BA2" w:rsidRPr="009E2B2C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1B2BA2" w:rsidRDefault="001B2BA2" w:rsidP="001B2BA2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31.08.70. </w:t>
      </w:r>
      <w:r>
        <w:rPr>
          <w:rFonts w:ascii="Times New Roman" w:hAnsi="Times New Roman"/>
          <w:b/>
          <w:caps/>
          <w:sz w:val="24"/>
          <w:szCs w:val="24"/>
          <w:shd w:val="clear" w:color="auto" w:fill="FFFFFF" w:themeFill="background1"/>
        </w:rPr>
        <w:t>Эндоскоп</w:t>
      </w:r>
      <w:r w:rsidRPr="002E32F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ИЯ</w:t>
      </w:r>
    </w:p>
    <w:p w:rsidR="001B2BA2" w:rsidRDefault="001B2BA2" w:rsidP="001B2BA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2BA2" w:rsidRDefault="001B2BA2" w:rsidP="001B2B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1B2BA2" w:rsidRDefault="001B2BA2" w:rsidP="001B2B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1B2BA2" w:rsidRPr="00EE4D35" w:rsidRDefault="001B2BA2" w:rsidP="001B2B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D35">
        <w:rPr>
          <w:rFonts w:ascii="Times New Roman" w:hAnsi="Times New Roman"/>
          <w:b/>
          <w:sz w:val="24"/>
          <w:szCs w:val="24"/>
        </w:rPr>
        <w:t>Очная</w:t>
      </w:r>
    </w:p>
    <w:p w:rsidR="001B2BA2" w:rsidRDefault="001B2BA2" w:rsidP="001B2B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3год) в связи с введением в действие Федерального государственного образовательного стандарта высшего образования по направлению подготовки 31.08.70 </w:t>
      </w:r>
      <w:r w:rsidRPr="00D9787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Эндоскопия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1B2BA2" w:rsidRDefault="001B2BA2" w:rsidP="001B2B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B2BA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2014 г.</w:t>
      </w:r>
    </w:p>
    <w:p w:rsidR="001B2BA2" w:rsidRDefault="001B2BA2" w:rsidP="001B2BA2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1B2B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B2BA2" w:rsidRPr="00E8516F" w:rsidRDefault="001B2BA2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1B2BA2" w:rsidRPr="00E8516F">
          <w:rPr>
            <w:rStyle w:val="a3"/>
          </w:rPr>
          <w:t>1.1. Назначение программы ее основное содержание</w:t>
        </w:r>
        <w:r w:rsidR="001B2BA2" w:rsidRPr="00E8516F">
          <w:rPr>
            <w:rStyle w:val="a3"/>
          </w:rPr>
          <w:tab/>
          <w:t>4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1B2BA2" w:rsidRPr="00E8516F">
          <w:rPr>
            <w:rStyle w:val="a3"/>
          </w:rPr>
          <w:t xml:space="preserve">1.2 Нормативные документы для разработки </w:t>
        </w:r>
        <w:r w:rsidR="001B2BA2">
          <w:rPr>
            <w:rStyle w:val="a3"/>
          </w:rPr>
          <w:t>образовательной программы высшего образования (</w:t>
        </w:r>
        <w:r w:rsidR="001B2BA2" w:rsidRPr="00E8516F">
          <w:rPr>
            <w:rStyle w:val="a3"/>
          </w:rPr>
          <w:t>ОП ВО</w:t>
        </w:r>
        <w:r w:rsidR="001B2BA2">
          <w:rPr>
            <w:rStyle w:val="a3"/>
          </w:rPr>
          <w:t xml:space="preserve">) </w:t>
        </w:r>
        <w:r w:rsidR="001B2BA2" w:rsidRPr="00E8516F">
          <w:rPr>
            <w:rStyle w:val="a3"/>
          </w:rPr>
          <w:t xml:space="preserve"> по направлению подготовки </w:t>
        </w:r>
        <w:r w:rsidR="001B2BA2">
          <w:rPr>
            <w:rStyle w:val="a3"/>
          </w:rPr>
          <w:t>31.08.70 «Эндоскопия</w:t>
        </w:r>
        <w:r w:rsidR="001B2BA2" w:rsidRPr="00D9787B">
          <w:rPr>
            <w:rStyle w:val="a3"/>
          </w:rPr>
          <w:t>»</w:t>
        </w:r>
        <w:r w:rsidR="001B2BA2" w:rsidRPr="00E8516F">
          <w:rPr>
            <w:rStyle w:val="a3"/>
          </w:rPr>
          <w:tab/>
          <w:t>5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1B2BA2" w:rsidRPr="00E8516F">
          <w:rPr>
            <w:rStyle w:val="a3"/>
          </w:rPr>
          <w:t xml:space="preserve">1.3. Общая характеристика ОП ВО по направлению подготовки </w:t>
        </w:r>
        <w:r w:rsidR="001B2BA2">
          <w:rPr>
            <w:rStyle w:val="a3"/>
          </w:rPr>
          <w:t>31.08.70 «Эндоскопия</w:t>
        </w:r>
        <w:r w:rsidR="001B2BA2" w:rsidRPr="00D9787B">
          <w:rPr>
            <w:rStyle w:val="a3"/>
          </w:rPr>
          <w:t>»</w:t>
        </w:r>
        <w:r w:rsidR="001B2BA2" w:rsidRPr="00E8516F">
          <w:rPr>
            <w:rStyle w:val="a3"/>
          </w:rPr>
          <w:t xml:space="preserve"> </w:t>
        </w:r>
        <w:r w:rsidR="001B2BA2" w:rsidRPr="00E8516F">
          <w:rPr>
            <w:rStyle w:val="a3"/>
          </w:rPr>
          <w:tab/>
          <w:t>6</w:t>
        </w:r>
      </w:hyperlink>
    </w:p>
    <w:p w:rsidR="001B2BA2" w:rsidRPr="00E8516F" w:rsidRDefault="00CD1528" w:rsidP="001B2BA2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1B2BA2" w:rsidRPr="00E8516F" w:rsidRDefault="00CD1528" w:rsidP="001B2BA2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1B2BA2" w:rsidRPr="00E8516F" w:rsidRDefault="00CD1528" w:rsidP="001B2BA2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ВО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1B2BA2" w:rsidRPr="00E8516F" w:rsidRDefault="00CD1528" w:rsidP="001B2BA2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1B2BA2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31.08</w:t>
        </w:r>
        <w:r w:rsidR="001B2BA2"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70-</w:t>
        </w:r>
        <w:r w:rsidR="001B2BA2" w:rsidRPr="00D9787B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«Эндоскопия</w:t>
        </w:r>
        <w:r w:rsidR="001B2BA2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1B2BA2" w:rsidRPr="00E8516F">
          <w:rPr>
            <w:rStyle w:val="a3"/>
          </w:rPr>
          <w:t>2.1. Область профессиональной деятельности выпускника</w:t>
        </w:r>
        <w:r w:rsidR="001B2BA2" w:rsidRPr="00E8516F">
          <w:rPr>
            <w:rStyle w:val="a3"/>
          </w:rPr>
          <w:tab/>
          <w:t>7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1B2BA2" w:rsidRPr="00E8516F">
          <w:rPr>
            <w:rStyle w:val="a3"/>
          </w:rPr>
          <w:t>2.2 Объекты профессиональной деятельности выпускника</w:t>
        </w:r>
        <w:r w:rsidR="001B2BA2" w:rsidRPr="00E8516F">
          <w:rPr>
            <w:rStyle w:val="a3"/>
          </w:rPr>
          <w:tab/>
          <w:t>7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1B2BA2" w:rsidRPr="00E8516F">
          <w:rPr>
            <w:rStyle w:val="a3"/>
          </w:rPr>
          <w:t>2.3 Виды профессиональной деятельности выпускника.</w:t>
        </w:r>
        <w:r w:rsidR="001B2BA2" w:rsidRPr="00E8516F">
          <w:rPr>
            <w:rStyle w:val="a3"/>
          </w:rPr>
          <w:tab/>
          <w:t>7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1B2BA2" w:rsidRPr="00E8516F">
          <w:rPr>
            <w:rStyle w:val="a3"/>
          </w:rPr>
          <w:t>2.4. Задачи профессиональной деятельности выпускника.</w:t>
        </w:r>
        <w:r w:rsidR="001B2BA2" w:rsidRPr="00E8516F">
          <w:rPr>
            <w:rStyle w:val="a3"/>
          </w:rPr>
          <w:tab/>
          <w:t>7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1B2BA2"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31.08.70</w:t>
        </w:r>
        <w:r w:rsidR="001B2BA2"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 w:rsidR="001B2BA2">
          <w:rPr>
            <w:rStyle w:val="a3"/>
            <w:rFonts w:ascii="Times New Roman" w:hAnsi="Times New Roman"/>
            <w:sz w:val="24"/>
            <w:szCs w:val="24"/>
          </w:rPr>
          <w:t>Эндоскопия</w:t>
        </w:r>
        <w:r w:rsidR="001B2BA2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1B2BA2"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 w:rsidR="001B2BA2">
          <w:rPr>
            <w:rStyle w:val="a3"/>
          </w:rPr>
          <w:t>31.08.70 «Эндоскопия</w:t>
        </w:r>
        <w:r w:rsidR="001B2BA2" w:rsidRPr="00D9787B">
          <w:rPr>
            <w:rStyle w:val="a3"/>
          </w:rPr>
          <w:t>»</w:t>
        </w:r>
        <w:r w:rsidR="001B2BA2" w:rsidRPr="00E8516F">
          <w:rPr>
            <w:rStyle w:val="a3"/>
          </w:rPr>
          <w:tab/>
          <w:t>10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1B2BA2" w:rsidRPr="00D9787B">
          <w:rPr>
            <w:rStyle w:val="a3"/>
          </w:rPr>
          <w:t xml:space="preserve">4.2. Учебный план ОП ВО по направлению подготовки  </w:t>
        </w:r>
        <w:r w:rsidR="001B2BA2">
          <w:rPr>
            <w:rStyle w:val="a3"/>
          </w:rPr>
          <w:t>31.08.70 «Эндоскопия</w:t>
        </w:r>
        <w:r w:rsidR="001B2BA2" w:rsidRPr="00D9787B">
          <w:rPr>
            <w:rStyle w:val="a3"/>
          </w:rPr>
          <w:t>»</w:t>
        </w:r>
        <w:r w:rsidR="001B2BA2" w:rsidRPr="00E8516F">
          <w:rPr>
            <w:rStyle w:val="a3"/>
          </w:rPr>
          <w:t xml:space="preserve"> </w:t>
        </w:r>
        <w:r w:rsidR="001B2BA2" w:rsidRPr="00E8516F">
          <w:rPr>
            <w:rStyle w:val="a3"/>
          </w:rPr>
          <w:tab/>
          <w:t>11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1B2BA2" w:rsidRPr="00E8516F">
          <w:rPr>
            <w:rStyle w:val="a3"/>
          </w:rPr>
          <w:t xml:space="preserve">5.1. Кадровое обеспечение. </w:t>
        </w:r>
        <w:r w:rsidR="001B2BA2" w:rsidRPr="00E8516F">
          <w:rPr>
            <w:rStyle w:val="a3"/>
          </w:rPr>
          <w:tab/>
          <w:t>14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1B2BA2" w:rsidRPr="00E8516F">
          <w:rPr>
            <w:rStyle w:val="a3"/>
          </w:rPr>
          <w:t>5.2. Информационное обеспечение программы бакалавриата</w:t>
        </w:r>
        <w:r w:rsidR="001B2BA2" w:rsidRPr="00E8516F">
          <w:rPr>
            <w:rStyle w:val="a3"/>
          </w:rPr>
          <w:tab/>
          <w:t>14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1B2BA2" w:rsidRPr="00E8516F">
          <w:rPr>
            <w:rStyle w:val="a3"/>
          </w:rPr>
          <w:t>5.3. Материально-техническое обеспечение учебного процесса</w:t>
        </w:r>
        <w:r w:rsidR="001B2BA2" w:rsidRPr="00E8516F">
          <w:rPr>
            <w:rStyle w:val="a3"/>
          </w:rPr>
          <w:tab/>
          <w:t>15</w:t>
        </w:r>
      </w:hyperlink>
    </w:p>
    <w:p w:rsidR="001B2BA2" w:rsidRPr="00E8516F" w:rsidRDefault="00CD1528" w:rsidP="001B2BA2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1B2BA2"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="001B2BA2" w:rsidRPr="00E8516F">
          <w:rPr>
            <w:rStyle w:val="a3"/>
          </w:rPr>
          <w:tab/>
          <w:t>17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1B2BA2" w:rsidRPr="00E8516F" w:rsidRDefault="00CD1528" w:rsidP="001B2BA2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B2BA2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1B2BA2">
          <w:rPr>
            <w:rStyle w:val="a3"/>
            <w:rFonts w:ascii="Times New Roman" w:hAnsi="Times New Roman"/>
            <w:sz w:val="24"/>
            <w:szCs w:val="24"/>
          </w:rPr>
          <w:t>7.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>ХАРАКТЕРИСТИКИ СРЕДЫ ВУЗА, ОБЕСПЕЧИВАЮЩИЕ РАЗВИТИЕ ОБЩЕКУЛЬТУРНЫХ И СОЦИАЛЬНО-ЛИЧНОСТНЫХ КОМПЕТЕНЦИЙ ВЫПУСКНИКОВ</w:t>
        </w:r>
        <w:r w:rsidR="001B2BA2"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1B2BA2" w:rsidRPr="00E8516F">
        <w:rPr>
          <w:rFonts w:ascii="Times New Roman" w:hAnsi="Times New Roman"/>
          <w:sz w:val="24"/>
          <w:szCs w:val="24"/>
        </w:rPr>
        <w:fldChar w:fldCharType="end"/>
      </w: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31.08.70 «Эндоскопия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31.08.70 «Эндоскопия</w:t>
      </w:r>
      <w:proofErr w:type="gramEnd"/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26.08.2014 № 1113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1B2BA2" w:rsidRPr="00F930E3" w:rsidRDefault="001B2BA2" w:rsidP="001B2BA2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31.08.70 «Эндоскопия»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1B2BA2" w:rsidRPr="0018687F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1B2BA2" w:rsidRDefault="001B2BA2" w:rsidP="001B2BA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1.08.70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26.08.2014 № 1113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1B2BA2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1B2BA2" w:rsidRPr="00892888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 направлению подготовки 31.08.70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1B2BA2" w:rsidRPr="00892888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 направлению подготовки 31.08.70 «Эндоскопия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</w:t>
      </w:r>
      <w:r>
        <w:rPr>
          <w:rFonts w:ascii="Times New Roman" w:hAnsi="Times New Roman"/>
          <w:sz w:val="24"/>
          <w:szCs w:val="24"/>
        </w:rPr>
        <w:lastRenderedPageBreak/>
        <w:t>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1B2BA2" w:rsidRDefault="001B2BA2" w:rsidP="001B2BA2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1B2BA2" w:rsidRPr="00147615" w:rsidRDefault="001B2BA2" w:rsidP="001B2BA2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1B2BA2" w:rsidRDefault="001B2BA2" w:rsidP="001B2BA2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1B2BA2" w:rsidRPr="00B65DA3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31.08.70 «</w:t>
      </w:r>
      <w:r>
        <w:rPr>
          <w:rFonts w:ascii="Times New Roman" w:hAnsi="Times New Roman"/>
          <w:caps/>
          <w:color w:val="000000"/>
          <w:sz w:val="24"/>
          <w:szCs w:val="24"/>
        </w:rPr>
        <w:t>Эндоскоп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1B2BA2" w:rsidRPr="00E378E0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1B2BA2" w:rsidRPr="00887830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7830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BA2" w:rsidRPr="00765B78" w:rsidRDefault="001B2BA2" w:rsidP="001B2BA2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1B2BA2" w:rsidRPr="00765B78" w:rsidRDefault="001B2BA2" w:rsidP="001B2BA2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1B2BA2" w:rsidRPr="00765B78" w:rsidRDefault="001B2BA2" w:rsidP="001B2BA2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1B2BA2" w:rsidRPr="00765B78" w:rsidRDefault="001B2BA2" w:rsidP="001B2BA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1B2BA2" w:rsidRPr="00765B78" w:rsidRDefault="001B2BA2" w:rsidP="001B2BA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1B2BA2" w:rsidRPr="00765B78" w:rsidRDefault="001B2BA2" w:rsidP="001B2BA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1B2BA2" w:rsidRPr="00765B78" w:rsidRDefault="001B2BA2" w:rsidP="001B2BA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1B2BA2" w:rsidRPr="00765B78" w:rsidRDefault="001B2BA2" w:rsidP="001B2BA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1B2BA2" w:rsidRPr="00765B78" w:rsidRDefault="001B2BA2" w:rsidP="001B2BA2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1B2BA2" w:rsidRPr="00765B78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1B2BA2" w:rsidRPr="00765B78" w:rsidRDefault="001B2BA2" w:rsidP="001B2BA2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1B2BA2" w:rsidRPr="00765B78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1B2BA2" w:rsidRPr="00765B78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1B2BA2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1B2BA2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1B2BA2" w:rsidRPr="00765B78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1B2BA2" w:rsidRPr="00765B78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1B2BA2" w:rsidRPr="00765B78" w:rsidRDefault="001B2BA2" w:rsidP="001B2BA2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31.08.70 Эндоскопия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31.08.70 «Эндоскопия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1B2BA2" w:rsidRDefault="001B2BA2" w:rsidP="001B2BA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1B2BA2" w:rsidTr="00216F90">
        <w:tc>
          <w:tcPr>
            <w:tcW w:w="9854" w:type="dxa"/>
            <w:gridSpan w:val="2"/>
          </w:tcPr>
          <w:p w:rsidR="001B2BA2" w:rsidRPr="00356AC9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3" w:name="_GoBack"/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356AC9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1B2BA2" w:rsidRPr="00356AC9" w:rsidRDefault="001B2BA2" w:rsidP="00216F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356AC9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1B2BA2" w:rsidRPr="00A74680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1B2BA2" w:rsidRPr="00A74680" w:rsidRDefault="00A74680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46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эндоскопических методов диагностики и лечения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2BA2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1B2BA2" w:rsidTr="00216F90">
        <w:tc>
          <w:tcPr>
            <w:tcW w:w="9854" w:type="dxa"/>
            <w:gridSpan w:val="2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1B2BA2" w:rsidTr="00216F90">
        <w:tc>
          <w:tcPr>
            <w:tcW w:w="1242" w:type="dxa"/>
          </w:tcPr>
          <w:p w:rsidR="001B2BA2" w:rsidRDefault="001B2BA2" w:rsidP="00216F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1B2BA2" w:rsidRPr="00A26EEC" w:rsidRDefault="001B2BA2" w:rsidP="00216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  <w:bookmarkEnd w:id="13"/>
    </w:tbl>
    <w:p w:rsidR="001B2BA2" w:rsidRPr="00356AC9" w:rsidRDefault="001B2BA2" w:rsidP="001B2BA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31.08.70 «Эндоскопия».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_RefHeading__33_52139697"/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Специалите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та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31.08.70 «</w:t>
      </w:r>
      <w:r>
        <w:rPr>
          <w:rFonts w:ascii="Times New Roman" w:hAnsi="Times New Roman"/>
          <w:caps/>
          <w:color w:val="000000"/>
          <w:sz w:val="24"/>
          <w:szCs w:val="24"/>
        </w:rPr>
        <w:t>Эндоскоп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1B2BA2" w:rsidRDefault="001B2BA2" w:rsidP="001B2BA2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8.70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Эндоскопия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1B2BA2" w:rsidRPr="00EC0A19" w:rsidRDefault="001B2BA2" w:rsidP="001B2BA2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1B2BA2" w:rsidRPr="00776DB9" w:rsidRDefault="001B2BA2" w:rsidP="001B2BA2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1B2BA2" w:rsidRDefault="001B2BA2" w:rsidP="001B2BA2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1B2BA2" w:rsidRPr="00EC0A19" w:rsidRDefault="001B2BA2" w:rsidP="001B2BA2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1B2BA2" w:rsidRPr="00EC0A19" w:rsidRDefault="001B2BA2" w:rsidP="001B2BA2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1B2BA2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_RefHeading__35_52139697"/>
      <w:bookmarkEnd w:id="15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31.08.70 «Эндоскопия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1B2BA2" w:rsidRPr="00AD1CE6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1B2BA2" w:rsidRPr="00B331B5" w:rsidRDefault="001B2BA2" w:rsidP="001B2BA2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70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«Эндоскопия»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__RefHeading__37_52139697"/>
      <w:bookmarkEnd w:id="16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31.08.70 «Эндоскопия»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1B2BA2" w:rsidRDefault="001B2BA2" w:rsidP="001B2BA2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1B2BA2" w:rsidRPr="002C439B" w:rsidRDefault="001B2BA2" w:rsidP="001B2BA2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1B2BA2" w:rsidRPr="002C439B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color w:val="000000"/>
          <w:sz w:val="24"/>
          <w:szCs w:val="24"/>
        </w:rPr>
        <w:t>31.08.70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1B2BA2" w:rsidRPr="00090504" w:rsidRDefault="001B2BA2" w:rsidP="001B2BA2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1B2BA2" w:rsidRDefault="001B2BA2" w:rsidP="001B2BA2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1B2BA2" w:rsidRPr="00B60B55" w:rsidRDefault="001B2BA2" w:rsidP="001B2BA2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1B2BA2" w:rsidRPr="00FA54FC" w:rsidRDefault="001B2BA2" w:rsidP="001B2BA2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1B2BA2" w:rsidRPr="00B60B55" w:rsidRDefault="001B2BA2" w:rsidP="001B2BA2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7"/>
      <w:bookmarkEnd w:id="18"/>
      <w:bookmarkEnd w:id="19"/>
      <w:bookmarkEnd w:id="20"/>
      <w:bookmarkEnd w:id="21"/>
      <w:bookmarkEnd w:id="22"/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3"/>
      <w:bookmarkEnd w:id="24"/>
      <w:bookmarkEnd w:id="25"/>
      <w:bookmarkEnd w:id="26"/>
      <w:bookmarkEnd w:id="27"/>
      <w:bookmarkEnd w:id="28"/>
    </w:p>
    <w:p w:rsidR="001B2BA2" w:rsidRPr="00B3466F" w:rsidRDefault="001B2BA2" w:rsidP="001B2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31.08.70 «Эндоскопия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3466F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</w:t>
      </w:r>
      <w:r>
        <w:rPr>
          <w:rFonts w:ascii="Times New Roman" w:hAnsi="Times New Roman"/>
          <w:sz w:val="24"/>
          <w:szCs w:val="24"/>
        </w:rPr>
        <w:t>П</w:t>
      </w:r>
      <w:r w:rsidRPr="00B3466F">
        <w:rPr>
          <w:rFonts w:ascii="Times New Roman" w:hAnsi="Times New Roman"/>
          <w:sz w:val="24"/>
          <w:szCs w:val="24"/>
        </w:rPr>
        <w:t>О «БГУ».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1B2BA2" w:rsidRPr="00FF691B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1B2BA2" w:rsidRPr="00FF691B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lastRenderedPageBreak/>
        <w:t>- описание показателей и критериев оценивания компетенций, а также шкал оценивания;</w:t>
      </w:r>
    </w:p>
    <w:p w:rsidR="001B2BA2" w:rsidRPr="00FF691B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1B2BA2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1B2BA2" w:rsidRPr="00FA54FC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1B2BA2" w:rsidRPr="00B60B55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End w:id="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0" w:name="__RefHeading__41_52139697"/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1B2BA2" w:rsidRDefault="001B2BA2" w:rsidP="001B2B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1B2BA2" w:rsidRDefault="001B2BA2" w:rsidP="001B2B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BA2" w:rsidRDefault="001B2BA2" w:rsidP="001B2B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80%. </w:t>
      </w:r>
      <w:proofErr w:type="gramEnd"/>
    </w:p>
    <w:p w:rsidR="001B2BA2" w:rsidRDefault="001B2BA2" w:rsidP="001B2B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1</w:t>
      </w:r>
      <w:r w:rsidRPr="00236AFF">
        <w:rPr>
          <w:rFonts w:ascii="Times New Roman" w:hAnsi="Times New Roman"/>
          <w:sz w:val="24"/>
          <w:szCs w:val="24"/>
        </w:rPr>
        <w:t>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B2BA2" w:rsidRDefault="001B2BA2" w:rsidP="001B2B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1B2BA2" w:rsidRDefault="001B2BA2" w:rsidP="001B2BA2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__RefHeading__43_52139697"/>
      <w:bookmarkStart w:id="32" w:name="__RefHeading__45_52139697"/>
      <w:bookmarkEnd w:id="31"/>
      <w:bookmarkEnd w:id="32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1B2BA2" w:rsidRPr="007F6827" w:rsidRDefault="001B2BA2" w:rsidP="001B2BA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1B2BA2" w:rsidRPr="001719FF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1B2BA2" w:rsidRPr="001719FF" w:rsidRDefault="001B2BA2" w:rsidP="001B2BA2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1B2BA2" w:rsidRPr="001719FF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1B2BA2" w:rsidRPr="001719FF" w:rsidRDefault="001B2BA2" w:rsidP="001B2BA2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1B2BA2" w:rsidRPr="001719FF" w:rsidRDefault="001B2BA2" w:rsidP="001B2BA2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1B2BA2" w:rsidRPr="001719FF" w:rsidRDefault="001B2BA2" w:rsidP="001B2BA2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1B2BA2" w:rsidRPr="001719FF" w:rsidRDefault="001B2BA2" w:rsidP="001B2BA2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1B2BA2" w:rsidRPr="001719FF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1B2BA2" w:rsidRPr="001719FF" w:rsidRDefault="001B2BA2" w:rsidP="001B2BA2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1B2BA2" w:rsidRPr="001719FF" w:rsidRDefault="001B2BA2" w:rsidP="001B2BA2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.</w:t>
      </w:r>
    </w:p>
    <w:p w:rsidR="001B2BA2" w:rsidRPr="001719FF" w:rsidRDefault="001B2BA2" w:rsidP="001B2BA2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1B2BA2" w:rsidRPr="001719FF" w:rsidRDefault="001B2BA2" w:rsidP="001B2BA2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2BA2" w:rsidRPr="001719FF" w:rsidRDefault="001B2BA2" w:rsidP="001B2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1B2BA2" w:rsidRPr="001A514C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1B2BA2" w:rsidRPr="001A514C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1B2BA2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1B2BA2" w:rsidRPr="001A514C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предусмотренные профессиональной 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</w:p>
    <w:p w:rsidR="001B2BA2" w:rsidRPr="001A514C" w:rsidRDefault="001B2BA2" w:rsidP="001B2BA2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</w:t>
      </w:r>
      <w:r w:rsidRPr="001A514C">
        <w:rPr>
          <w:rFonts w:ascii="Times New Roman" w:hAnsi="Times New Roman"/>
          <w:sz w:val="24"/>
          <w:szCs w:val="24"/>
        </w:rPr>
        <w:lastRenderedPageBreak/>
        <w:t xml:space="preserve">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1B2BA2" w:rsidRDefault="001B2BA2" w:rsidP="001B2BA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ординатора по направлению 31.08.70 «Эндоскопия»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1B2BA2" w:rsidRPr="00DC4405" w:rsidTr="00216F90">
        <w:tc>
          <w:tcPr>
            <w:tcW w:w="540" w:type="dxa"/>
            <w:vAlign w:val="center"/>
          </w:tcPr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1B2BA2" w:rsidRPr="00DC4405" w:rsidRDefault="001B2BA2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A357B9" w:rsidRPr="00DC4405" w:rsidTr="00216F90">
        <w:trPr>
          <w:tblHeader/>
        </w:trPr>
        <w:tc>
          <w:tcPr>
            <w:tcW w:w="540" w:type="dxa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A357B9" w:rsidRPr="00DC4405" w:rsidRDefault="00A357B9" w:rsidP="00216F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Эндоскопия</w:t>
            </w:r>
          </w:p>
        </w:tc>
        <w:tc>
          <w:tcPr>
            <w:tcW w:w="0" w:type="auto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A357B9" w:rsidRPr="00DC4405" w:rsidTr="00216F90">
        <w:trPr>
          <w:cantSplit/>
          <w:trHeight w:val="816"/>
        </w:trPr>
        <w:tc>
          <w:tcPr>
            <w:tcW w:w="540" w:type="dxa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Организация здравоохранения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357B9" w:rsidRPr="00DC4405" w:rsidTr="00216F90">
        <w:trPr>
          <w:cantSplit/>
          <w:trHeight w:val="816"/>
        </w:trPr>
        <w:tc>
          <w:tcPr>
            <w:tcW w:w="540" w:type="dxa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</w:tr>
      <w:tr w:rsidR="00A357B9" w:rsidRPr="00DC4405" w:rsidTr="00216F90">
        <w:trPr>
          <w:cantSplit/>
          <w:trHeight w:val="816"/>
        </w:trPr>
        <w:tc>
          <w:tcPr>
            <w:tcW w:w="540" w:type="dxa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A357B9" w:rsidRPr="00862492" w:rsidRDefault="00A357B9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A357B9" w:rsidRPr="00DC4405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357B9" w:rsidRPr="00DC4405" w:rsidRDefault="00A357B9" w:rsidP="002C42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357B9" w:rsidRPr="00DC4405" w:rsidTr="00216F90">
        <w:trPr>
          <w:cantSplit/>
          <w:trHeight w:val="816"/>
        </w:trPr>
        <w:tc>
          <w:tcPr>
            <w:tcW w:w="540" w:type="dxa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A357B9" w:rsidRPr="00DC4405" w:rsidRDefault="00A357B9" w:rsidP="00216F9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 w:rsidR="00AD4CCE"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Cs/>
              </w:rPr>
            </w:pPr>
          </w:p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357B9" w:rsidRPr="00DC4405" w:rsidTr="00216F90">
        <w:trPr>
          <w:cantSplit/>
          <w:trHeight w:val="418"/>
        </w:trPr>
        <w:tc>
          <w:tcPr>
            <w:tcW w:w="540" w:type="dxa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A357B9" w:rsidRPr="00DC4405" w:rsidRDefault="00A357B9" w:rsidP="00216F9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 w:rsidRPr="00DC4405"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357B9" w:rsidRPr="00DC4405" w:rsidTr="00216F90">
        <w:trPr>
          <w:cantSplit/>
          <w:trHeight w:val="732"/>
        </w:trPr>
        <w:tc>
          <w:tcPr>
            <w:tcW w:w="540" w:type="dxa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</w:tr>
      <w:tr w:rsidR="00A357B9" w:rsidRPr="00DC4405" w:rsidTr="00216F90">
        <w:trPr>
          <w:cantSplit/>
          <w:trHeight w:val="443"/>
        </w:trPr>
        <w:tc>
          <w:tcPr>
            <w:tcW w:w="540" w:type="dxa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8</w:t>
            </w: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 w:val="restart"/>
          </w:tcPr>
          <w:p w:rsidR="00A357B9" w:rsidRPr="00DC4405" w:rsidRDefault="00A357B9" w:rsidP="00216F90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A357B9" w:rsidRPr="00DC4405" w:rsidTr="00216F90">
        <w:trPr>
          <w:cantSplit/>
          <w:trHeight w:val="590"/>
        </w:trPr>
        <w:tc>
          <w:tcPr>
            <w:tcW w:w="540" w:type="dxa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357B9" w:rsidRPr="00DC4405" w:rsidTr="003328AF">
        <w:trPr>
          <w:cantSplit/>
          <w:trHeight w:val="1250"/>
        </w:trPr>
        <w:tc>
          <w:tcPr>
            <w:tcW w:w="540" w:type="dxa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9</w:t>
            </w:r>
          </w:p>
        </w:tc>
        <w:tc>
          <w:tcPr>
            <w:tcW w:w="2082" w:type="dxa"/>
            <w:vMerge w:val="restart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Общая хирургия</w:t>
            </w:r>
          </w:p>
        </w:tc>
        <w:tc>
          <w:tcPr>
            <w:tcW w:w="0" w:type="auto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357B9" w:rsidRPr="00DC4405" w:rsidTr="00216F90">
        <w:trPr>
          <w:cantSplit/>
          <w:trHeight w:val="842"/>
        </w:trPr>
        <w:tc>
          <w:tcPr>
            <w:tcW w:w="540" w:type="dxa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</w:tr>
      <w:tr w:rsidR="00A357B9" w:rsidRPr="00DC4405" w:rsidTr="00BC4704">
        <w:trPr>
          <w:cantSplit/>
          <w:trHeight w:val="1832"/>
        </w:trPr>
        <w:tc>
          <w:tcPr>
            <w:tcW w:w="540" w:type="dxa"/>
            <w:vMerge w:val="restart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82" w:type="dxa"/>
            <w:vMerge w:val="restart"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Гнойная хирургия</w:t>
            </w:r>
          </w:p>
        </w:tc>
        <w:tc>
          <w:tcPr>
            <w:tcW w:w="0" w:type="auto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7B9" w:rsidRDefault="00A357B9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357B9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357B9" w:rsidRPr="00DC4405" w:rsidRDefault="00A357B9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A357B9" w:rsidRPr="00DC4405" w:rsidTr="00216F90">
        <w:trPr>
          <w:cantSplit/>
          <w:trHeight w:val="1164"/>
        </w:trPr>
        <w:tc>
          <w:tcPr>
            <w:tcW w:w="540" w:type="dxa"/>
            <w:vMerge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357B9" w:rsidRPr="00DC4405" w:rsidRDefault="00A357B9" w:rsidP="00216F90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  <w:p w:rsidR="00A357B9" w:rsidRPr="00DC4405" w:rsidRDefault="00A357B9" w:rsidP="00216F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BA2" w:rsidRDefault="001B2BA2" w:rsidP="001B2BA2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1B2BA2" w:rsidRDefault="001B2BA2" w:rsidP="001B2BA2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ОЦЕНКА КАЧЕСТВА ОСВОЕНИЯ ПРОГРАММЫ </w:t>
      </w:r>
    </w:p>
    <w:p w:rsidR="001B2BA2" w:rsidRPr="009E2B2C" w:rsidRDefault="00A7434C" w:rsidP="001B2BA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специалите</w:t>
      </w:r>
      <w:r w:rsidR="001B2BA2" w:rsidRPr="009E2B2C">
        <w:rPr>
          <w:rFonts w:ascii="Times New Roman" w:hAnsi="Times New Roman"/>
          <w:b/>
          <w:caps/>
          <w:sz w:val="24"/>
          <w:szCs w:val="24"/>
        </w:rPr>
        <w:t xml:space="preserve">та по направлению подготовки </w:t>
      </w:r>
      <w:r w:rsidR="001B2BA2">
        <w:rPr>
          <w:rFonts w:ascii="Times New Roman" w:hAnsi="Times New Roman"/>
          <w:b/>
          <w:caps/>
          <w:sz w:val="24"/>
          <w:szCs w:val="24"/>
        </w:rPr>
        <w:t>31.08.70</w:t>
      </w:r>
      <w:r w:rsidR="001B2BA2"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1B2BA2">
        <w:rPr>
          <w:rFonts w:ascii="Times New Roman" w:hAnsi="Times New Roman"/>
          <w:b/>
          <w:caps/>
          <w:sz w:val="24"/>
          <w:szCs w:val="24"/>
        </w:rPr>
        <w:t>Эндоскопия</w:t>
      </w:r>
      <w:r w:rsidR="001B2BA2"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31.08.70 «Эндоскопия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1B2BA2" w:rsidRDefault="001B2BA2" w:rsidP="001B2BA2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1B2BA2" w:rsidRDefault="001B2BA2" w:rsidP="001B2BA2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1B2BA2" w:rsidRDefault="001B2BA2" w:rsidP="001B2BA2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1B2BA2" w:rsidRDefault="001B2BA2" w:rsidP="001B2BA2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1B2BA2" w:rsidRDefault="001B2BA2" w:rsidP="001B2BA2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31.08.70 «Эндоскопия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государственный экзамен.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31.08.70 «Эндоскопия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1B2BA2" w:rsidRDefault="001B2BA2" w:rsidP="001B2BA2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1B2BA2" w:rsidRDefault="001B2BA2" w:rsidP="001B2BA2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1B2BA2" w:rsidRDefault="001B2BA2" w:rsidP="001B2BA2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1B2BA2" w:rsidTr="00216F90">
        <w:tc>
          <w:tcPr>
            <w:tcW w:w="3190" w:type="dxa"/>
            <w:shd w:val="clear" w:color="auto" w:fill="auto"/>
            <w:vAlign w:val="center"/>
          </w:tcPr>
          <w:p w:rsidR="001B2BA2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RPr="003B5ACE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Default="001B2BA2" w:rsidP="00216F9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1B2BA2" w:rsidTr="00216F90">
        <w:tc>
          <w:tcPr>
            <w:tcW w:w="3190" w:type="dxa"/>
            <w:shd w:val="clear" w:color="auto" w:fill="auto"/>
            <w:vAlign w:val="center"/>
          </w:tcPr>
          <w:p w:rsidR="001B2BA2" w:rsidRPr="003B5ACE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B2BA2" w:rsidRDefault="001B2BA2" w:rsidP="00216F9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B2BA2" w:rsidRDefault="001B2BA2" w:rsidP="00216F9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1B2BA2" w:rsidRDefault="001B2BA2" w:rsidP="001B2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A2" w:rsidRDefault="001B2BA2" w:rsidP="001B2BA2">
      <w:pPr>
        <w:widowControl w:val="0"/>
        <w:spacing w:after="0" w:line="360" w:lineRule="auto"/>
        <w:ind w:firstLine="709"/>
        <w:jc w:val="right"/>
      </w:pPr>
    </w:p>
    <w:p w:rsidR="001B2BA2" w:rsidRDefault="001B2BA2" w:rsidP="001B2BA2"/>
    <w:p w:rsidR="001B2BA2" w:rsidRDefault="001B2BA2" w:rsidP="001B2BA2"/>
    <w:p w:rsidR="001B2BA2" w:rsidRDefault="001B2BA2" w:rsidP="001B2BA2"/>
    <w:p w:rsidR="008537EC" w:rsidRDefault="008537EC"/>
    <w:sectPr w:rsidR="008537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8" w:rsidRDefault="00CD1528">
      <w:pPr>
        <w:spacing w:after="0" w:line="240" w:lineRule="auto"/>
      </w:pPr>
      <w:r>
        <w:separator/>
      </w:r>
    </w:p>
  </w:endnote>
  <w:endnote w:type="continuationSeparator" w:id="0">
    <w:p w:rsidR="00CD1528" w:rsidRDefault="00C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344299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AE803C" wp14:editId="187A48F4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2F9" w:rsidRDefault="00344299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74680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F322F9" w:rsidRDefault="00344299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74680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322F9" w:rsidRDefault="00CD1528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8" w:rsidRDefault="00CD1528">
      <w:pPr>
        <w:spacing w:after="0" w:line="240" w:lineRule="auto"/>
      </w:pPr>
      <w:r>
        <w:separator/>
      </w:r>
    </w:p>
  </w:footnote>
  <w:footnote w:type="continuationSeparator" w:id="0">
    <w:p w:rsidR="00CD1528" w:rsidRDefault="00CD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CD15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B6F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2"/>
    <w:rsid w:val="001B2BA2"/>
    <w:rsid w:val="00344299"/>
    <w:rsid w:val="004B0B26"/>
    <w:rsid w:val="008537EC"/>
    <w:rsid w:val="00A357B9"/>
    <w:rsid w:val="00A7434C"/>
    <w:rsid w:val="00A74680"/>
    <w:rsid w:val="00A94B14"/>
    <w:rsid w:val="00AD4CCE"/>
    <w:rsid w:val="00C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B2BA2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B2BA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B2BA2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1B2BA2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A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B2BA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B2BA2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1B2BA2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1B2BA2"/>
    <w:rPr>
      <w:rFonts w:cs="Times New Roman"/>
      <w:color w:val="0000FF"/>
      <w:u w:val="single"/>
    </w:rPr>
  </w:style>
  <w:style w:type="character" w:styleId="a4">
    <w:name w:val="page number"/>
    <w:rsid w:val="001B2BA2"/>
    <w:rPr>
      <w:rFonts w:cs="Times New Roman"/>
      <w:sz w:val="20"/>
    </w:rPr>
  </w:style>
  <w:style w:type="paragraph" w:styleId="21">
    <w:name w:val="toc 2"/>
    <w:basedOn w:val="a"/>
    <w:next w:val="a"/>
    <w:rsid w:val="001B2BA2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1B2BA2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1B2B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1B2B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B2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B2BA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B2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B2BA2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1B2BA2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1B2BA2"/>
    <w:pPr>
      <w:tabs>
        <w:tab w:val="left" w:pos="9639"/>
      </w:tabs>
      <w:spacing w:before="120" w:after="0" w:line="240" w:lineRule="auto"/>
    </w:pPr>
  </w:style>
  <w:style w:type="table" w:styleId="ac">
    <w:name w:val="Table Grid"/>
    <w:basedOn w:val="a1"/>
    <w:uiPriority w:val="59"/>
    <w:rsid w:val="001B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B2BA2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B2BA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B2BA2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1B2BA2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A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B2BA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B2BA2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1B2BA2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1B2BA2"/>
    <w:rPr>
      <w:rFonts w:cs="Times New Roman"/>
      <w:color w:val="0000FF"/>
      <w:u w:val="single"/>
    </w:rPr>
  </w:style>
  <w:style w:type="character" w:styleId="a4">
    <w:name w:val="page number"/>
    <w:rsid w:val="001B2BA2"/>
    <w:rPr>
      <w:rFonts w:cs="Times New Roman"/>
      <w:sz w:val="20"/>
    </w:rPr>
  </w:style>
  <w:style w:type="paragraph" w:styleId="21">
    <w:name w:val="toc 2"/>
    <w:basedOn w:val="a"/>
    <w:next w:val="a"/>
    <w:rsid w:val="001B2BA2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1B2BA2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1B2B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1B2B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B2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B2BA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B2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B2BA2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1B2BA2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1B2BA2"/>
    <w:pPr>
      <w:tabs>
        <w:tab w:val="left" w:pos="9639"/>
      </w:tabs>
      <w:spacing w:before="120" w:after="0" w:line="240" w:lineRule="auto"/>
    </w:pPr>
  </w:style>
  <w:style w:type="table" w:styleId="ac">
    <w:name w:val="Table Grid"/>
    <w:basedOn w:val="a1"/>
    <w:uiPriority w:val="59"/>
    <w:rsid w:val="001B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2016-09-19T12:29:00Z</dcterms:created>
  <dcterms:modified xsi:type="dcterms:W3CDTF">2016-09-27T12:20:00Z</dcterms:modified>
</cp:coreProperties>
</file>