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25A" w:rsidRDefault="004B225A" w:rsidP="004B225A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Приложение № </w:t>
      </w:r>
      <w:r w:rsidRPr="004B225A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6 </w:t>
      </w:r>
    </w:p>
    <w:p w:rsidR="004B225A" w:rsidRDefault="004B225A" w:rsidP="004B225A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к положению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о порядке проведения </w:t>
      </w:r>
    </w:p>
    <w:p w:rsidR="004B225A" w:rsidRDefault="004B225A" w:rsidP="004B225A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конкурсного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отбора  для</w:t>
      </w:r>
      <w:proofErr w:type="gram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присуждения </w:t>
      </w:r>
    </w:p>
    <w:p w:rsidR="004B225A" w:rsidRPr="004B225A" w:rsidRDefault="004B225A" w:rsidP="004B225A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республиканских премий «Время молодых»</w:t>
      </w:r>
    </w:p>
    <w:p w:rsidR="004B225A" w:rsidRPr="004B225A" w:rsidRDefault="004B225A" w:rsidP="004B225A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4B225A" w:rsidRDefault="004B225A" w:rsidP="004B225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4"/>
          <w:sz w:val="28"/>
          <w:szCs w:val="28"/>
          <w:lang w:eastAsia="ru-RU"/>
        </w:rPr>
        <w:t>Таблица рейтинговой оценки научной деятельности в категориях:</w:t>
      </w:r>
    </w:p>
    <w:p w:rsidR="004B225A" w:rsidRDefault="004B225A" w:rsidP="004B225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  <w:t>«Студенты уровня «бакалавриат» образовательных организаций высшего образования и студенты образовательных организаций профессионального образования»/</w:t>
      </w:r>
    </w:p>
    <w:p w:rsidR="004B225A" w:rsidRDefault="004B225A" w:rsidP="004B225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  <w:t xml:space="preserve"> «Студенты уровня «магистратура» образовательных организаций высшего образования»/</w:t>
      </w:r>
    </w:p>
    <w:p w:rsidR="004B225A" w:rsidRDefault="004B225A" w:rsidP="004B225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  <w:t>«Аспиранты»/ «Молодые ученые»</w:t>
      </w:r>
    </w:p>
    <w:p w:rsidR="004B225A" w:rsidRDefault="004B225A" w:rsidP="004B225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Кандидатом)</w:t>
      </w:r>
    </w:p>
    <w:p w:rsidR="004B225A" w:rsidRDefault="004B225A" w:rsidP="004B225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pacing w:val="-14"/>
          <w:sz w:val="28"/>
          <w:szCs w:val="28"/>
          <w:lang w:eastAsia="ru-RU"/>
        </w:rPr>
      </w:pPr>
    </w:p>
    <w:p w:rsidR="004B225A" w:rsidRDefault="004B225A" w:rsidP="004B225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tbl>
      <w:tblPr>
        <w:tblW w:w="994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5389"/>
        <w:gridCol w:w="1421"/>
        <w:gridCol w:w="1416"/>
        <w:gridCol w:w="1007"/>
      </w:tblGrid>
      <w:tr w:rsidR="004B225A" w:rsidTr="004B225A">
        <w:trPr>
          <w:trHeight w:val="277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№ п/п</w:t>
            </w:r>
          </w:p>
        </w:tc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рейтинговой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оценки</w:t>
            </w:r>
            <w:proofErr w:type="spellEnd"/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Единица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научной</w:t>
            </w:r>
            <w:proofErr w:type="spellEnd"/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продукции</w:t>
            </w:r>
            <w:proofErr w:type="spellEnd"/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Баллы</w:t>
            </w:r>
            <w:proofErr w:type="spellEnd"/>
          </w:p>
        </w:tc>
      </w:tr>
      <w:tr w:rsidR="004B225A" w:rsidTr="004B225A">
        <w:trPr>
          <w:trHeight w:val="829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25A" w:rsidRDefault="004B225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9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25A" w:rsidRDefault="004B225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3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25A" w:rsidRDefault="004B225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проект</w:t>
            </w:r>
            <w:proofErr w:type="spellEnd"/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соавторств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о)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факт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.</w:t>
            </w: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9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Монографии (научные и научно-популярные издания), учебники 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vertAlign w:val="superscript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:</w:t>
            </w:r>
          </w:p>
        </w:tc>
      </w:tr>
      <w:tr w:rsidR="004B225A" w:rsidTr="004B225A">
        <w:trPr>
          <w:trHeight w:val="55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1.1.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изданные за рубежом (за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искл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Lambert</w:t>
            </w:r>
            <w:r w:rsidRPr="004B225A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Academic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Publishing)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60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делится на количество соавторов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55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1.2.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изданные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ab/>
              <w:t>пределами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ab/>
              <w:t>республики на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территории РФ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50 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делится на количество соавторов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1.3.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изданные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республиканских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издательствах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40 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делится на количество соавторов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Статьи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vertAlign w:val="super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:</w:t>
            </w:r>
          </w:p>
        </w:tc>
      </w:tr>
      <w:tr w:rsidR="004B225A" w:rsidTr="004B225A">
        <w:trPr>
          <w:trHeight w:val="55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2.1.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статьи, изданные в индексируемых журналах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WoS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Scopus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*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40 (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делится на количество соавторов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8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2.2.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статьи, опубликованные в реферируемых журналах, рекомендованных ВАК,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20 (делится на количество соавторов)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8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2.3.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Статьи, опубликованные в журналах РИНЦ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10 (делится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lastRenderedPageBreak/>
              <w:t>количество соавторов)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11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2.4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Статьи,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ab/>
              <w:t>опубликованные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ab/>
              <w:t>сборниках статей РИНЦ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8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(делится на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кол-во соавторов)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11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2.5.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другие издания за рубежом (исключая тезисы)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6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(делится на количество соавторов)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110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2.6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издания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исключая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тезисы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4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(делится на количество соавторов)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9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Патенты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нормативные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акты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:</w:t>
            </w:r>
          </w:p>
        </w:tc>
      </w:tr>
      <w:tr w:rsidR="004B225A" w:rsidTr="004B225A">
        <w:trPr>
          <w:trHeight w:val="2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3.1.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патенты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8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3.1.1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изобретение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30 (делится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на кол-во соавторов)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82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3.1.2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на промышленный образец, полезную модель, селекционные достижения;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20 (делится на кол-во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соавторов)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8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3.2.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свидетельство о государственной регистрации на базу данных, программу ЭВМ, топологию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интегральных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микросхем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20 (делится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на кол-во соавторов)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82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3.3.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заявки на патент и авторское свидетельство;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10 (делится на кол-во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соавторов)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55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3.4.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нормативные акты, ГОСТы, ТУ (технические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условия), технологические карты;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7 (делится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на кол-во соавторов)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 xml:space="preserve">Защита диссертаций и получение званий: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vertAlign w:val="superscript"/>
                <w:lang w:eastAsia="ru-RU"/>
              </w:rPr>
              <w:t>*5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2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4.1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докторской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4.2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кандидатской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, PhD;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50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4.3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Получение ученого звания профессора / профессора РАН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4.4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Получение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ученого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звания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доцента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50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Тезисы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докладов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конференций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8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5.1.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тезисы, опубликованные в материалах научных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конференций, семинаров, симпозиумов Международного уровня;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8 (делится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на кол-во соавторов)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82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5.2.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тезисы, опубликованные в материалах научных конференций,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семинаров,симпозиумов</w:t>
            </w:r>
            <w:proofErr w:type="spellEnd"/>
            <w:proofErr w:type="gramEnd"/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всероссийского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уровня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4 (делится на кол-во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соавторов)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8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lastRenderedPageBreak/>
              <w:t>5.3.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тезисы, опубликованные в материалах научных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конференций, семинаров, симпозиумов регионального уровня;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2 (делится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на кол-во соавторов)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9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Участие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грантах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4B225A" w:rsidTr="004B225A">
        <w:trPr>
          <w:trHeight w:val="2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6.1.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международных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руководство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участие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);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15 (7)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6.2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российских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руководство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участие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);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10 (5)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6.3.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региональных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руководство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участие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);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7 (3,5)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6.4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внутривузовских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руководство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участие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).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4 (2)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Учебные и учебно-методические пособия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8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7.1.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Изданные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рубежом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50 (делится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на кол-во соавторов)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82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7.2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грифом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УМО РФ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40 (делится на кол-во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соавторов)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8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7.3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С грифом Министерства образования и науки РБ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20 (делится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на кол-во соавторов)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82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7.4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С грифом УМС (УМО) ВУЗов,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Электронные учебные и учебно-методические пособия.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5 (делится на кол-во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соавторов)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55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8.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Участие в составе организационного комитета научных мероприятий: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8.1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международного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уровня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8.2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всероссийского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уровня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8.3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межрегионального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уровня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8.4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республиканского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уровня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8.5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внутривузовского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уровня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9.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Научное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руководство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9.1.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руководство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кандидатскими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диссертациями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55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9.2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руководство выпускной квалификационной работой (уровень магистра);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55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9.3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руководство выпускной квалификационной работой (уровень бакалавра/специалиста).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10.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диссертационных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советах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55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10.1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в качестве официального оппонента, подготовка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отзыва ведущей организации;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10.2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качестве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рецензента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эксперта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10.3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отзыва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автореферат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11.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Привлечение студентов и учащихся к НИР: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55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11.1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руководство научными объединениями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студентов/молодых ученых;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5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11.2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организация научной работы: на факультетах/ и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кафедрах (ответственные. по НИР и НИРС);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82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lastRenderedPageBreak/>
              <w:t>11.3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подготовка участников на всероссийские / республиканские олимпиады среди студентов и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школьников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занявших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призовые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55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Премии, награды, звания за научные труды и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научную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.1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Премия Президента Российской Федерации в области науки и инноваций для молодых ученых, Премия Правительства Российской Федерации для молодых ученых;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.2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государственные федерального уровня и международные;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.3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республиканского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уровня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.4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ведомственного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уровня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vertAlign w:val="superscript"/>
                <w:lang w:val="en-US" w:eastAsia="ru-RU"/>
              </w:rPr>
              <w:t>*6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11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Участие в научных мероприятиях (конференции, олимпиады, выставка и т.д.)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(необходимо документальное подтверждение по каждому из пунктов):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.1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международные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очное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заочное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);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10/3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13.2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всероссийские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очное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заочное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);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7/2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.3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региональные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очное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заочное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5/1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55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Руководство / участие в научно- исследовательских экспедициях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.1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международные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руководство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участие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);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10/5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.2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всероссийские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руководство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участие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);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7/3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.3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региональные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руководство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участие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5/2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55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Внедрение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ab/>
              <w:t>инновационной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ab/>
              <w:t>продукции в</w:t>
            </w:r>
          </w:p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производство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vertAlign w:val="superscript"/>
                <w:lang w:eastAsia="ru-RU"/>
              </w:rPr>
              <w:t>*7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  <w:tr w:rsidR="004B225A" w:rsidTr="004B225A">
        <w:trPr>
          <w:trHeight w:val="2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val="en-US" w:eastAsia="ru-RU"/>
              </w:rPr>
              <w:t>ИТОГО: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5A" w:rsidRDefault="004B225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en-US" w:eastAsia="ru-RU"/>
              </w:rPr>
            </w:pPr>
          </w:p>
        </w:tc>
      </w:tr>
    </w:tbl>
    <w:p w:rsidR="004B225A" w:rsidRDefault="004B225A" w:rsidP="004B225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  <w:t>Примечания:</w:t>
      </w:r>
    </w:p>
    <w:p w:rsidR="004B225A" w:rsidRDefault="004B225A" w:rsidP="004B225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 xml:space="preserve">- в данный раздел включаются авторские научные издания с индексом «монография, учебник», объемом не менее 5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>п.л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 xml:space="preserve">. Баллы начисляются за 5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>п.л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 xml:space="preserve">. Свыше этого объема (5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>п.л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 xml:space="preserve">.) за каждый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>п.л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>. прибавляется по 4 балла для изданных за рубежом (исключая страны СНГ), 3 для российских (за пределами Республики Бурятия) и 2 балла для республиканских изданий;</w:t>
      </w:r>
    </w:p>
    <w:p w:rsidR="004B225A" w:rsidRDefault="004B225A" w:rsidP="004B225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 xml:space="preserve"> - Для вузов искусств «к монографии могут приравниваться публично представленные, опубликованные, имеющиеся в виде аудио- и видеозаписи результаты профессиональной творческой деятельности преподавателей по созданию авторских художественных произведений: спектакль, концертная композиция, фильм, цирковое и эстрадное представление. Каждая выполненная работа приравнивается к одной монографии» (выписка из приказа Федеральной службы по надзору в сфере образования и науки прилагается, Приложение № 4);</w:t>
      </w:r>
    </w:p>
    <w:p w:rsidR="004B225A" w:rsidRDefault="004B225A" w:rsidP="004B225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 xml:space="preserve"> – в том числе опубликованные в электронных изданиях. Объем статьи должен быть не ниже 0,3-0,4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>п.л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>. (для п.2)</w:t>
      </w:r>
    </w:p>
    <w:p w:rsidR="004B225A" w:rsidRDefault="004B225A" w:rsidP="004B225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lastRenderedPageBreak/>
        <w:t>*</w:t>
      </w: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 xml:space="preserve"> – Количество баллов за статьи, опубликованные в журналах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>WoS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 xml:space="preserve">, SCOPUS, международный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>импакт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 xml:space="preserve"> фактор которых на момент публикации статьи составлял больше 1, умножаются в 1,5 раза; больше 2 - умножаются в два раза;</w:t>
      </w:r>
    </w:p>
    <w:p w:rsidR="004B225A" w:rsidRDefault="004B225A" w:rsidP="004B225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vertAlign w:val="superscript"/>
          <w:lang w:eastAsia="ru-RU"/>
        </w:rPr>
        <w:t>*5</w:t>
      </w: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 xml:space="preserve"> – учитывается дата защиты диссертации / получения ученого звания в указанный период, подтвержденное документом ВАК;</w:t>
      </w:r>
    </w:p>
    <w:p w:rsidR="004B225A" w:rsidRDefault="004B225A" w:rsidP="004B225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vertAlign w:val="superscript"/>
          <w:lang w:eastAsia="ru-RU"/>
        </w:rPr>
        <w:t>*6</w:t>
      </w: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>- к премиям, наградам, званиям за научные труды государственного ведомственного уровня не относятся благодарственные письма кафедры;</w:t>
      </w:r>
    </w:p>
    <w:p w:rsidR="004B225A" w:rsidRDefault="004B225A" w:rsidP="004B225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vertAlign w:val="superscript"/>
          <w:lang w:eastAsia="ru-RU"/>
        </w:rPr>
        <w:t>*7</w:t>
      </w: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  <w:t>- подтверждается документами, заверенными коммерческой организацией / предприятием и в надлежащем порядке.</w:t>
      </w:r>
    </w:p>
    <w:p w:rsidR="004B225A" w:rsidRDefault="004B225A" w:rsidP="004B225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4B225A" w:rsidRDefault="004B225A" w:rsidP="004B225A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4B225A" w:rsidRDefault="004B225A" w:rsidP="004B225A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4B225A" w:rsidRDefault="004B225A" w:rsidP="004B225A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407B13" w:rsidRDefault="00407B13">
      <w:bookmarkStart w:id="0" w:name="_GoBack"/>
      <w:bookmarkEnd w:id="0"/>
    </w:p>
    <w:sectPr w:rsidR="0040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5A"/>
    <w:rsid w:val="00407B13"/>
    <w:rsid w:val="004B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39A5E-0F17-40C2-AA86-59E6B7BC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22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LhasaranovaNO</dc:creator>
  <cp:keywords/>
  <dc:description/>
  <cp:lastModifiedBy>LhasaranovaNO</cp:lastModifiedBy>
  <cp:revision>1</cp:revision>
  <dcterms:created xsi:type="dcterms:W3CDTF">2025-09-19T07:11:00Z</dcterms:created>
  <dcterms:modified xsi:type="dcterms:W3CDTF">2025-09-19T07:12:00Z</dcterms:modified>
</cp:coreProperties>
</file>